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029" w14:textId="77777777" w:rsidR="00910006" w:rsidRPr="00FD09A9" w:rsidRDefault="006A5461" w:rsidP="002B0D95">
      <w:pPr>
        <w:spacing w:after="0" w:line="240" w:lineRule="auto"/>
        <w:ind w:left="6480"/>
        <w:rPr>
          <w:rFonts w:ascii="Times New Roman" w:hAnsi="Times New Roman" w:cs="Times New Roman"/>
          <w:bCs/>
          <w:sz w:val="22"/>
        </w:rPr>
      </w:pPr>
      <w:r w:rsidRPr="00FD09A9">
        <w:rPr>
          <w:rFonts w:ascii="Times New Roman" w:hAnsi="Times New Roman" w:cs="Times New Roman"/>
          <w:bCs/>
          <w:sz w:val="22"/>
        </w:rPr>
        <w:t>TVIRTINU</w:t>
      </w:r>
    </w:p>
    <w:p w14:paraId="49D19FF9" w14:textId="77777777" w:rsidR="002B0D95" w:rsidRDefault="002B0D95" w:rsidP="002B0D95">
      <w:pPr>
        <w:spacing w:after="0" w:line="240" w:lineRule="auto"/>
        <w:ind w:left="6480"/>
        <w:rPr>
          <w:rFonts w:ascii="Times New Roman" w:hAnsi="Times New Roman" w:cs="Times New Roman"/>
          <w:sz w:val="22"/>
        </w:rPr>
      </w:pPr>
      <w:r w:rsidRPr="002B0D95">
        <w:rPr>
          <w:rFonts w:ascii="Times New Roman" w:hAnsi="Times New Roman" w:cs="Times New Roman"/>
          <w:sz w:val="22"/>
        </w:rPr>
        <w:t xml:space="preserve">Lietuvių literatūros ir tautosakos instituto </w:t>
      </w:r>
    </w:p>
    <w:p w14:paraId="3F2F1567" w14:textId="34BCCB57" w:rsidR="00910006" w:rsidRPr="002B0D95" w:rsidRDefault="002B0D95" w:rsidP="002B0D95">
      <w:pPr>
        <w:spacing w:after="0" w:line="240" w:lineRule="auto"/>
        <w:ind w:left="6480"/>
        <w:rPr>
          <w:rFonts w:ascii="Times New Roman" w:hAnsi="Times New Roman" w:cs="Times New Roman"/>
          <w:sz w:val="22"/>
        </w:rPr>
      </w:pPr>
      <w:r w:rsidRPr="002B0D95">
        <w:rPr>
          <w:rFonts w:ascii="Times New Roman" w:hAnsi="Times New Roman" w:cs="Times New Roman"/>
          <w:sz w:val="22"/>
        </w:rPr>
        <w:t>d</w:t>
      </w:r>
      <w:r w:rsidR="006A5461" w:rsidRPr="002B0D95">
        <w:rPr>
          <w:rFonts w:ascii="Times New Roman" w:hAnsi="Times New Roman" w:cs="Times New Roman"/>
          <w:sz w:val="22"/>
        </w:rPr>
        <w:t>irektor</w:t>
      </w:r>
      <w:r w:rsidRPr="002B0D95">
        <w:rPr>
          <w:rFonts w:ascii="Times New Roman" w:hAnsi="Times New Roman" w:cs="Times New Roman"/>
          <w:sz w:val="22"/>
        </w:rPr>
        <w:t>ė</w:t>
      </w:r>
    </w:p>
    <w:p w14:paraId="1992E7FD" w14:textId="30CDC36D" w:rsidR="002B0D95" w:rsidRPr="002B0D95" w:rsidRDefault="002B0D95" w:rsidP="002B0D95">
      <w:pPr>
        <w:spacing w:after="0" w:line="240" w:lineRule="auto"/>
        <w:ind w:left="6480"/>
        <w:rPr>
          <w:rFonts w:ascii="Times New Roman" w:hAnsi="Times New Roman" w:cs="Times New Roman"/>
          <w:sz w:val="22"/>
        </w:rPr>
      </w:pPr>
      <w:r w:rsidRPr="002B0D95">
        <w:rPr>
          <w:rFonts w:ascii="Times New Roman" w:hAnsi="Times New Roman" w:cs="Times New Roman"/>
          <w:sz w:val="22"/>
        </w:rPr>
        <w:t>Aušra Martišiūtė-Linartienė</w:t>
      </w:r>
    </w:p>
    <w:p w14:paraId="54F0AD8C" w14:textId="77777777" w:rsidR="002B0D95" w:rsidRPr="002B0D95" w:rsidRDefault="002B0D95">
      <w:pPr>
        <w:jc w:val="center"/>
        <w:rPr>
          <w:rFonts w:ascii="Times New Roman" w:hAnsi="Times New Roman" w:cs="Times New Roman"/>
          <w:sz w:val="22"/>
        </w:rPr>
      </w:pPr>
    </w:p>
    <w:p w14:paraId="70174751" w14:textId="080C24E9" w:rsidR="00910006" w:rsidRPr="002B0D95" w:rsidRDefault="006A5461">
      <w:pPr>
        <w:jc w:val="center"/>
        <w:rPr>
          <w:rFonts w:ascii="Times New Roman" w:hAnsi="Times New Roman" w:cs="Times New Roman"/>
          <w:sz w:val="22"/>
        </w:rPr>
      </w:pPr>
      <w:r w:rsidRPr="002B0D95">
        <w:rPr>
          <w:rFonts w:ascii="Times New Roman" w:hAnsi="Times New Roman" w:cs="Times New Roman"/>
          <w:b/>
          <w:sz w:val="22"/>
        </w:rPr>
        <w:t>ATSPARUMO KORUPCIJAI LYGIO NUSTATYMO IŠVADA</w:t>
      </w:r>
    </w:p>
    <w:p w14:paraId="4817DA06"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2026-06-25 Nr. ____</w:t>
      </w:r>
    </w:p>
    <w:p w14:paraId="5613EBB9"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Vilnius</w:t>
      </w:r>
    </w:p>
    <w:tbl>
      <w:tblPr>
        <w:tblStyle w:val="TableGrid"/>
        <w:tblW w:w="0" w:type="auto"/>
        <w:jc w:val="center"/>
        <w:tblLook w:val="04A0" w:firstRow="1" w:lastRow="0" w:firstColumn="1" w:lastColumn="0" w:noHBand="0" w:noVBand="1"/>
      </w:tblPr>
      <w:tblGrid>
        <w:gridCol w:w="5151"/>
        <w:gridCol w:w="5151"/>
      </w:tblGrid>
      <w:tr w:rsidR="00910006" w:rsidRPr="002B0D95" w14:paraId="3AB98CAB" w14:textId="77777777">
        <w:trPr>
          <w:jc w:val="center"/>
        </w:trPr>
        <w:tc>
          <w:tcPr>
            <w:tcW w:w="5156" w:type="dxa"/>
            <w:shd w:val="clear" w:color="auto" w:fill="D9EAF7"/>
          </w:tcPr>
          <w:p w14:paraId="5547065A"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Viešojo sektoriaus subjekto pavadinimas</w:t>
            </w:r>
          </w:p>
        </w:tc>
        <w:tc>
          <w:tcPr>
            <w:tcW w:w="5156" w:type="dxa"/>
          </w:tcPr>
          <w:p w14:paraId="20CB84FC"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Lietuvių literatūros ir tautosakos institutas</w:t>
            </w:r>
          </w:p>
        </w:tc>
      </w:tr>
      <w:tr w:rsidR="00910006" w:rsidRPr="002B0D95" w14:paraId="1E33ADE9" w14:textId="77777777">
        <w:trPr>
          <w:jc w:val="center"/>
        </w:trPr>
        <w:tc>
          <w:tcPr>
            <w:tcW w:w="5156" w:type="dxa"/>
            <w:shd w:val="clear" w:color="auto" w:fill="D9EAF7"/>
          </w:tcPr>
          <w:p w14:paraId="7B563CC8"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Teisinė forma</w:t>
            </w:r>
          </w:p>
        </w:tc>
        <w:tc>
          <w:tcPr>
            <w:tcW w:w="5156" w:type="dxa"/>
          </w:tcPr>
          <w:p w14:paraId="3666BB7E"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valstybės biudžetinė įstaiga</w:t>
            </w:r>
          </w:p>
        </w:tc>
      </w:tr>
      <w:tr w:rsidR="00910006" w:rsidRPr="002B0D95" w14:paraId="56FF0196" w14:textId="77777777">
        <w:trPr>
          <w:jc w:val="center"/>
        </w:trPr>
        <w:tc>
          <w:tcPr>
            <w:tcW w:w="5156" w:type="dxa"/>
            <w:shd w:val="clear" w:color="auto" w:fill="D9EAF7"/>
          </w:tcPr>
          <w:p w14:paraId="3FA39504"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Juridinio asmens kodas</w:t>
            </w:r>
          </w:p>
        </w:tc>
        <w:tc>
          <w:tcPr>
            <w:tcW w:w="5156" w:type="dxa"/>
          </w:tcPr>
          <w:p w14:paraId="01989E56"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111955176</w:t>
            </w:r>
          </w:p>
        </w:tc>
      </w:tr>
    </w:tbl>
    <w:p w14:paraId="0FECC81D" w14:textId="77777777" w:rsidR="00910006" w:rsidRPr="002B0D95" w:rsidRDefault="006A5461" w:rsidP="002B0D95">
      <w:pPr>
        <w:jc w:val="both"/>
        <w:rPr>
          <w:rFonts w:ascii="Times New Roman" w:hAnsi="Times New Roman" w:cs="Times New Roman"/>
          <w:sz w:val="22"/>
        </w:rPr>
      </w:pPr>
      <w:r w:rsidRPr="002B0D95">
        <w:rPr>
          <w:rFonts w:ascii="Times New Roman" w:hAnsi="Times New Roman" w:cs="Times New Roman"/>
          <w:sz w:val="22"/>
        </w:rPr>
        <w:t>Vadovaujantis Lietuvos Respublikos korupcijos prevencijos įstatymo 12 straipsnio nuostatomis nustatytas atsparumo korupcijai lygis (toliau – AKL).</w:t>
      </w:r>
    </w:p>
    <w:p w14:paraId="09C5BFB4"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1. AKL nustatymo klausimyno rezultatas</w:t>
      </w:r>
    </w:p>
    <w:tbl>
      <w:tblPr>
        <w:tblStyle w:val="TableGrid"/>
        <w:tblW w:w="0" w:type="auto"/>
        <w:tblLook w:val="04A0" w:firstRow="1" w:lastRow="0" w:firstColumn="1" w:lastColumn="0" w:noHBand="0" w:noVBand="1"/>
      </w:tblPr>
      <w:tblGrid>
        <w:gridCol w:w="5151"/>
        <w:gridCol w:w="5151"/>
      </w:tblGrid>
      <w:tr w:rsidR="00910006" w:rsidRPr="002B0D95" w14:paraId="00A5F74C" w14:textId="77777777">
        <w:tc>
          <w:tcPr>
            <w:tcW w:w="5156" w:type="dxa"/>
            <w:shd w:val="clear" w:color="auto" w:fill="D9EAF7"/>
          </w:tcPr>
          <w:p w14:paraId="02581497"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b/>
                <w:sz w:val="22"/>
              </w:rPr>
              <w:t>AKL nustatymo klausimyno dalys</w:t>
            </w:r>
          </w:p>
        </w:tc>
        <w:tc>
          <w:tcPr>
            <w:tcW w:w="5156" w:type="dxa"/>
            <w:shd w:val="clear" w:color="auto" w:fill="D9EAF7"/>
          </w:tcPr>
          <w:p w14:paraId="081AA12D"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b/>
                <w:sz w:val="22"/>
              </w:rPr>
              <w:t>AKL nustatymo klausimyno dalies rezultatas</w:t>
            </w:r>
          </w:p>
        </w:tc>
      </w:tr>
      <w:tr w:rsidR="00910006" w:rsidRPr="002B0D95" w14:paraId="5D405F61" w14:textId="77777777">
        <w:tc>
          <w:tcPr>
            <w:tcW w:w="5156" w:type="dxa"/>
          </w:tcPr>
          <w:p w14:paraId="7A0CCEB3"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1. Skaidrumo kultūra</w:t>
            </w:r>
          </w:p>
        </w:tc>
        <w:tc>
          <w:tcPr>
            <w:tcW w:w="5156" w:type="dxa"/>
          </w:tcPr>
          <w:p w14:paraId="5862B180"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0,775</w:t>
            </w:r>
          </w:p>
        </w:tc>
      </w:tr>
      <w:tr w:rsidR="00910006" w:rsidRPr="002B0D95" w14:paraId="0FC1D979" w14:textId="77777777">
        <w:tc>
          <w:tcPr>
            <w:tcW w:w="5156" w:type="dxa"/>
          </w:tcPr>
          <w:p w14:paraId="0997EAF4"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2. Korupcijos rizikos valdymas ir pasireiškimo tikimybės nustatymas</w:t>
            </w:r>
          </w:p>
        </w:tc>
        <w:tc>
          <w:tcPr>
            <w:tcW w:w="5156" w:type="dxa"/>
          </w:tcPr>
          <w:p w14:paraId="241D3689"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0,875</w:t>
            </w:r>
          </w:p>
        </w:tc>
      </w:tr>
      <w:tr w:rsidR="00910006" w:rsidRPr="002B0D95" w14:paraId="2381A271" w14:textId="77777777">
        <w:tc>
          <w:tcPr>
            <w:tcW w:w="5156" w:type="dxa"/>
          </w:tcPr>
          <w:p w14:paraId="1AC0B72C"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3. Pranešėjų apsauga</w:t>
            </w:r>
          </w:p>
        </w:tc>
        <w:tc>
          <w:tcPr>
            <w:tcW w:w="5156" w:type="dxa"/>
          </w:tcPr>
          <w:p w14:paraId="6E3FE002"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0,800</w:t>
            </w:r>
          </w:p>
        </w:tc>
      </w:tr>
      <w:tr w:rsidR="00910006" w:rsidRPr="002B0D95" w14:paraId="278419C1" w14:textId="77777777">
        <w:tc>
          <w:tcPr>
            <w:tcW w:w="5156" w:type="dxa"/>
          </w:tcPr>
          <w:p w14:paraId="3F418A50"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4. Teisėkūros tobulinimas</w:t>
            </w:r>
          </w:p>
        </w:tc>
        <w:tc>
          <w:tcPr>
            <w:tcW w:w="5156" w:type="dxa"/>
          </w:tcPr>
          <w:p w14:paraId="506400EB"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0,000</w:t>
            </w:r>
          </w:p>
        </w:tc>
      </w:tr>
      <w:tr w:rsidR="00910006" w:rsidRPr="002B0D95" w14:paraId="78B178C4" w14:textId="77777777">
        <w:tc>
          <w:tcPr>
            <w:tcW w:w="5156" w:type="dxa"/>
          </w:tcPr>
          <w:p w14:paraId="11DCC78D"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5. Interesų konfliktų valdymas ir dovanų politikos įgyvendinimas</w:t>
            </w:r>
          </w:p>
        </w:tc>
        <w:tc>
          <w:tcPr>
            <w:tcW w:w="5156" w:type="dxa"/>
          </w:tcPr>
          <w:p w14:paraId="5DE015CE"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1,000</w:t>
            </w:r>
          </w:p>
        </w:tc>
      </w:tr>
      <w:tr w:rsidR="00910006" w:rsidRPr="002B0D95" w14:paraId="1E030800" w14:textId="77777777">
        <w:tc>
          <w:tcPr>
            <w:tcW w:w="5156" w:type="dxa"/>
          </w:tcPr>
          <w:p w14:paraId="4B72FDD9"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6. Personalo patikimumo užtikrinimas</w:t>
            </w:r>
          </w:p>
        </w:tc>
        <w:tc>
          <w:tcPr>
            <w:tcW w:w="5156" w:type="dxa"/>
          </w:tcPr>
          <w:p w14:paraId="15815769"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1,000</w:t>
            </w:r>
          </w:p>
        </w:tc>
      </w:tr>
      <w:tr w:rsidR="00910006" w:rsidRPr="002B0D95" w14:paraId="0E26B1C3" w14:textId="77777777">
        <w:tc>
          <w:tcPr>
            <w:tcW w:w="5156" w:type="dxa"/>
          </w:tcPr>
          <w:p w14:paraId="7556ABF5"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7. Tiekėjų atliekant viešuosius pirkimus vertinimas</w:t>
            </w:r>
          </w:p>
        </w:tc>
        <w:tc>
          <w:tcPr>
            <w:tcW w:w="5156" w:type="dxa"/>
          </w:tcPr>
          <w:p w14:paraId="190FCC8B"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0,925</w:t>
            </w:r>
          </w:p>
        </w:tc>
      </w:tr>
      <w:tr w:rsidR="00910006" w:rsidRPr="002B0D95" w14:paraId="7E1D9CD8" w14:textId="77777777">
        <w:tc>
          <w:tcPr>
            <w:tcW w:w="5156" w:type="dxa"/>
          </w:tcPr>
          <w:p w14:paraId="7D7E4154" w14:textId="77777777" w:rsidR="00910006" w:rsidRPr="002B0D95" w:rsidRDefault="006A5461">
            <w:pPr>
              <w:rPr>
                <w:rFonts w:ascii="Times New Roman" w:hAnsi="Times New Roman" w:cs="Times New Roman"/>
                <w:sz w:val="22"/>
              </w:rPr>
            </w:pPr>
            <w:r w:rsidRPr="002B0D95">
              <w:rPr>
                <w:rFonts w:ascii="Times New Roman" w:hAnsi="Times New Roman" w:cs="Times New Roman"/>
                <w:sz w:val="22"/>
              </w:rPr>
              <w:t>8. Korupcijos riziką mažinančių priemonių planavimas</w:t>
            </w:r>
          </w:p>
        </w:tc>
        <w:tc>
          <w:tcPr>
            <w:tcW w:w="5156" w:type="dxa"/>
          </w:tcPr>
          <w:p w14:paraId="6F9D3C42"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0,800</w:t>
            </w:r>
          </w:p>
        </w:tc>
      </w:tr>
      <w:tr w:rsidR="00910006" w:rsidRPr="002B0D95" w14:paraId="77B011F1" w14:textId="77777777">
        <w:tc>
          <w:tcPr>
            <w:tcW w:w="5156" w:type="dxa"/>
          </w:tcPr>
          <w:p w14:paraId="511707D3"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AKL nustatymo klausimyno visų atsakymų reikšmių suma</w:t>
            </w:r>
          </w:p>
        </w:tc>
        <w:tc>
          <w:tcPr>
            <w:tcW w:w="5156" w:type="dxa"/>
          </w:tcPr>
          <w:p w14:paraId="7B93FF24"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b/>
                <w:sz w:val="22"/>
              </w:rPr>
              <w:t>6,175</w:t>
            </w:r>
          </w:p>
        </w:tc>
      </w:tr>
      <w:tr w:rsidR="00910006" w:rsidRPr="002B0D95" w14:paraId="0FE4EF0A" w14:textId="77777777">
        <w:tc>
          <w:tcPr>
            <w:tcW w:w="5156" w:type="dxa"/>
          </w:tcPr>
          <w:p w14:paraId="38AD5325"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Bendras AKL nustatymo klausimyno rezultatas (A)</w:t>
            </w:r>
          </w:p>
        </w:tc>
        <w:tc>
          <w:tcPr>
            <w:tcW w:w="5156" w:type="dxa"/>
          </w:tcPr>
          <w:p w14:paraId="6C5B9160"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b/>
                <w:sz w:val="22"/>
              </w:rPr>
              <w:t>0,8</w:t>
            </w:r>
          </w:p>
        </w:tc>
      </w:tr>
    </w:tbl>
    <w:p w14:paraId="5CB2FA1E" w14:textId="77777777" w:rsidR="00910006" w:rsidRPr="002B0D95" w:rsidRDefault="006A5461" w:rsidP="002B0D95">
      <w:pPr>
        <w:jc w:val="both"/>
        <w:rPr>
          <w:rFonts w:ascii="Times New Roman" w:hAnsi="Times New Roman" w:cs="Times New Roman"/>
          <w:sz w:val="22"/>
        </w:rPr>
      </w:pPr>
      <w:r w:rsidRPr="002B0D95">
        <w:rPr>
          <w:rFonts w:ascii="Times New Roman" w:hAnsi="Times New Roman" w:cs="Times New Roman"/>
          <w:sz w:val="22"/>
        </w:rPr>
        <w:t>Pastaba: IV dalies klausimai pažymėti „Ne“ su pastaba, kad LLTI nerengia tokių teisės aktų projektų, kuriems būtinas antikorupcinis vertinimas, todėl ši dalis LLTI veikloje laikytina netaikytina. Skaičiavimas atliktas konservatyviai, nes klausimyno forma nenumato atskiro „netaikoma“ atsakymo.</w:t>
      </w:r>
    </w:p>
    <w:p w14:paraId="59324689"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2. AKL nustatymo anketos rezultatas</w:t>
      </w:r>
    </w:p>
    <w:tbl>
      <w:tblPr>
        <w:tblStyle w:val="TableGrid"/>
        <w:tblW w:w="0" w:type="auto"/>
        <w:tblLook w:val="04A0" w:firstRow="1" w:lastRow="0" w:firstColumn="1" w:lastColumn="0" w:noHBand="0" w:noVBand="1"/>
      </w:tblPr>
      <w:tblGrid>
        <w:gridCol w:w="5151"/>
        <w:gridCol w:w="5151"/>
      </w:tblGrid>
      <w:tr w:rsidR="00910006" w:rsidRPr="002B0D95" w14:paraId="22EAF485" w14:textId="77777777">
        <w:tc>
          <w:tcPr>
            <w:tcW w:w="5156" w:type="dxa"/>
            <w:shd w:val="clear" w:color="auto" w:fill="D9EAF7"/>
          </w:tcPr>
          <w:p w14:paraId="78C8D659"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Viešojo sektoriaus subjekto darbuotojų užpildytų AKL nustatymo anketų rezultatų vidurkių suma</w:t>
            </w:r>
          </w:p>
        </w:tc>
        <w:tc>
          <w:tcPr>
            <w:tcW w:w="5156" w:type="dxa"/>
          </w:tcPr>
          <w:p w14:paraId="4BD419B4"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35,571</w:t>
            </w:r>
          </w:p>
        </w:tc>
      </w:tr>
      <w:tr w:rsidR="00910006" w:rsidRPr="002B0D95" w14:paraId="53B63E01" w14:textId="77777777">
        <w:tc>
          <w:tcPr>
            <w:tcW w:w="5156" w:type="dxa"/>
            <w:shd w:val="clear" w:color="auto" w:fill="D9EAF7"/>
          </w:tcPr>
          <w:p w14:paraId="2AB35BE6"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Viešojo sektoriaus subjekto darbuotojų užpildytų AKL nustatymo anketų skaičius</w:t>
            </w:r>
          </w:p>
        </w:tc>
        <w:tc>
          <w:tcPr>
            <w:tcW w:w="5156" w:type="dxa"/>
          </w:tcPr>
          <w:p w14:paraId="3DD94844"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53</w:t>
            </w:r>
          </w:p>
        </w:tc>
      </w:tr>
      <w:tr w:rsidR="00910006" w:rsidRPr="002B0D95" w14:paraId="7565BF56" w14:textId="77777777">
        <w:tc>
          <w:tcPr>
            <w:tcW w:w="5156" w:type="dxa"/>
            <w:shd w:val="clear" w:color="auto" w:fill="D9EAF7"/>
          </w:tcPr>
          <w:p w14:paraId="11759C62"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Bendras AKL nustatymo anketos rezultatas (B)</w:t>
            </w:r>
          </w:p>
        </w:tc>
        <w:tc>
          <w:tcPr>
            <w:tcW w:w="5156" w:type="dxa"/>
          </w:tcPr>
          <w:p w14:paraId="67FD2448"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0,7</w:t>
            </w:r>
          </w:p>
        </w:tc>
      </w:tr>
    </w:tbl>
    <w:p w14:paraId="5B6A36A2"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3. AKL rezultatas</w:t>
      </w:r>
    </w:p>
    <w:tbl>
      <w:tblPr>
        <w:tblStyle w:val="TableGrid"/>
        <w:tblW w:w="0" w:type="auto"/>
        <w:tblLook w:val="04A0" w:firstRow="1" w:lastRow="0" w:firstColumn="1" w:lastColumn="0" w:noHBand="0" w:noVBand="1"/>
      </w:tblPr>
      <w:tblGrid>
        <w:gridCol w:w="5151"/>
        <w:gridCol w:w="5151"/>
      </w:tblGrid>
      <w:tr w:rsidR="00910006" w:rsidRPr="002B0D95" w14:paraId="5659910B" w14:textId="77777777">
        <w:tc>
          <w:tcPr>
            <w:tcW w:w="5156" w:type="dxa"/>
            <w:shd w:val="clear" w:color="auto" w:fill="D9EAF7"/>
          </w:tcPr>
          <w:p w14:paraId="14BED060"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AKL nustatymo klausimyno rezultatas (A)</w:t>
            </w:r>
          </w:p>
        </w:tc>
        <w:tc>
          <w:tcPr>
            <w:tcW w:w="5156" w:type="dxa"/>
          </w:tcPr>
          <w:p w14:paraId="774CBF73"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0,8</w:t>
            </w:r>
          </w:p>
        </w:tc>
      </w:tr>
      <w:tr w:rsidR="00910006" w:rsidRPr="002B0D95" w14:paraId="5FD692AD" w14:textId="77777777">
        <w:tc>
          <w:tcPr>
            <w:tcW w:w="5156" w:type="dxa"/>
            <w:shd w:val="clear" w:color="auto" w:fill="D9EAF7"/>
          </w:tcPr>
          <w:p w14:paraId="451E2CFC"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AKL nustatymo anketos rezultatas (B)</w:t>
            </w:r>
          </w:p>
        </w:tc>
        <w:tc>
          <w:tcPr>
            <w:tcW w:w="5156" w:type="dxa"/>
          </w:tcPr>
          <w:p w14:paraId="31B09F28"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0,7</w:t>
            </w:r>
          </w:p>
        </w:tc>
      </w:tr>
      <w:tr w:rsidR="00910006" w:rsidRPr="002B0D95" w14:paraId="637924EF" w14:textId="77777777">
        <w:tc>
          <w:tcPr>
            <w:tcW w:w="5156" w:type="dxa"/>
            <w:shd w:val="clear" w:color="auto" w:fill="D9EAF7"/>
          </w:tcPr>
          <w:p w14:paraId="45C5EC2F"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Viešojo sektoriaus subjekte nustatytų incidentų skaičius (C)</w:t>
            </w:r>
          </w:p>
        </w:tc>
        <w:tc>
          <w:tcPr>
            <w:tcW w:w="5156" w:type="dxa"/>
          </w:tcPr>
          <w:p w14:paraId="5502B225"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w:t>
            </w:r>
          </w:p>
        </w:tc>
      </w:tr>
      <w:tr w:rsidR="00910006" w:rsidRPr="002B0D95" w14:paraId="0CF9529C" w14:textId="77777777">
        <w:tc>
          <w:tcPr>
            <w:tcW w:w="5156" w:type="dxa"/>
            <w:shd w:val="clear" w:color="auto" w:fill="D9EAF7"/>
          </w:tcPr>
          <w:p w14:paraId="398AC974"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Vidutinis viešojo sektoriaus subjekte faktiškai dirbančių darbuotojų skaičius (D)</w:t>
            </w:r>
          </w:p>
        </w:tc>
        <w:tc>
          <w:tcPr>
            <w:tcW w:w="5156" w:type="dxa"/>
          </w:tcPr>
          <w:p w14:paraId="1C5F3ECF"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114</w:t>
            </w:r>
          </w:p>
        </w:tc>
      </w:tr>
      <w:tr w:rsidR="00910006" w:rsidRPr="002B0D95" w14:paraId="01E4F2EB" w14:textId="77777777">
        <w:tc>
          <w:tcPr>
            <w:tcW w:w="5156" w:type="dxa"/>
            <w:shd w:val="clear" w:color="auto" w:fill="D9EAF7"/>
          </w:tcPr>
          <w:p w14:paraId="53E2E21E"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lastRenderedPageBreak/>
              <w:t>Viešojo sektoriaus subjekte vidiniais informacijos apie pažeidimus teikimo kanalais gautų darbuotojų pranešimų apie bandymus papirkti skaičius (E)</w:t>
            </w:r>
          </w:p>
        </w:tc>
        <w:tc>
          <w:tcPr>
            <w:tcW w:w="5156" w:type="dxa"/>
          </w:tcPr>
          <w:p w14:paraId="4209829F"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w:t>
            </w:r>
          </w:p>
        </w:tc>
      </w:tr>
      <w:tr w:rsidR="00910006" w:rsidRPr="002B0D95" w14:paraId="4287773B" w14:textId="77777777">
        <w:tc>
          <w:tcPr>
            <w:tcW w:w="5156" w:type="dxa"/>
            <w:shd w:val="clear" w:color="auto" w:fill="D9EAF7"/>
          </w:tcPr>
          <w:p w14:paraId="4747DD17"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AKL rezultatas AKL = (A+B) : 2 – (C:D) + (E:D)</w:t>
            </w:r>
          </w:p>
        </w:tc>
        <w:tc>
          <w:tcPr>
            <w:tcW w:w="5156" w:type="dxa"/>
          </w:tcPr>
          <w:p w14:paraId="2AF98C48" w14:textId="77777777" w:rsidR="00910006" w:rsidRPr="002B0D95" w:rsidRDefault="006A5461">
            <w:pPr>
              <w:jc w:val="center"/>
              <w:rPr>
                <w:rFonts w:ascii="Times New Roman" w:hAnsi="Times New Roman" w:cs="Times New Roman"/>
                <w:sz w:val="22"/>
              </w:rPr>
            </w:pPr>
            <w:r w:rsidRPr="002B0D95">
              <w:rPr>
                <w:rFonts w:ascii="Times New Roman" w:hAnsi="Times New Roman" w:cs="Times New Roman"/>
                <w:sz w:val="22"/>
              </w:rPr>
              <w:t>0,75</w:t>
            </w:r>
          </w:p>
        </w:tc>
      </w:tr>
    </w:tbl>
    <w:p w14:paraId="61F5DA70"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 xml:space="preserve">Išvada. </w:t>
      </w:r>
      <w:r w:rsidRPr="002B0D95">
        <w:rPr>
          <w:rFonts w:ascii="Times New Roman" w:hAnsi="Times New Roman" w:cs="Times New Roman"/>
          <w:sz w:val="22"/>
        </w:rPr>
        <w:t>Viešojo sektoriaus subjekte AKL yra aukštas.</w:t>
      </w:r>
    </w:p>
    <w:p w14:paraId="2FC9E9E2" w14:textId="77777777" w:rsidR="00910006" w:rsidRPr="002B0D95" w:rsidRDefault="006A5461">
      <w:pPr>
        <w:rPr>
          <w:rFonts w:ascii="Times New Roman" w:hAnsi="Times New Roman" w:cs="Times New Roman"/>
          <w:sz w:val="22"/>
        </w:rPr>
      </w:pPr>
      <w:r w:rsidRPr="002B0D95">
        <w:rPr>
          <w:rFonts w:ascii="Times New Roman" w:hAnsi="Times New Roman" w:cs="Times New Roman"/>
          <w:b/>
          <w:sz w:val="22"/>
        </w:rPr>
        <w:t>Siūlomos priemonės AKL rezultatui pagerinti / palaikyti:</w:t>
      </w:r>
    </w:p>
    <w:p w14:paraId="701E4BDB" w14:textId="77777777" w:rsidR="00910006" w:rsidRPr="002B0D95" w:rsidRDefault="006A5461" w:rsidP="002B0D95">
      <w:pPr>
        <w:ind w:left="283"/>
        <w:jc w:val="both"/>
        <w:rPr>
          <w:rFonts w:ascii="Times New Roman" w:hAnsi="Times New Roman" w:cs="Times New Roman"/>
          <w:sz w:val="22"/>
        </w:rPr>
      </w:pPr>
      <w:r w:rsidRPr="002B0D95">
        <w:rPr>
          <w:rFonts w:ascii="Times New Roman" w:hAnsi="Times New Roman" w:cs="Times New Roman"/>
          <w:sz w:val="22"/>
        </w:rPr>
        <w:t>Atnaujinti ir viešai skelbti interneto svetainės skiltyje „Korupcijos prevencija“ aktualią informaciją apie korupcijai atsparios aplinkos kūrimo priemones ir jų įgyvendinimą.</w:t>
      </w:r>
    </w:p>
    <w:p w14:paraId="5550F8B5" w14:textId="77777777" w:rsidR="00910006" w:rsidRPr="002B0D95" w:rsidRDefault="006A5461" w:rsidP="002B0D95">
      <w:pPr>
        <w:ind w:left="283"/>
        <w:jc w:val="both"/>
        <w:rPr>
          <w:rFonts w:ascii="Times New Roman" w:hAnsi="Times New Roman" w:cs="Times New Roman"/>
          <w:sz w:val="22"/>
        </w:rPr>
      </w:pPr>
      <w:r w:rsidRPr="002B0D95">
        <w:rPr>
          <w:rFonts w:ascii="Times New Roman" w:hAnsi="Times New Roman" w:cs="Times New Roman"/>
          <w:sz w:val="22"/>
        </w:rPr>
        <w:t>Formalizuoti atsakingų asmenų kvalifikacijos kėlimo ir darbuotojų antikorupcinių mokymų planavimą.</w:t>
      </w:r>
    </w:p>
    <w:p w14:paraId="1E62242D" w14:textId="77777777" w:rsidR="00910006" w:rsidRPr="002B0D95" w:rsidRDefault="006A5461" w:rsidP="002B0D95">
      <w:pPr>
        <w:ind w:left="283"/>
        <w:jc w:val="both"/>
        <w:rPr>
          <w:rFonts w:ascii="Times New Roman" w:hAnsi="Times New Roman" w:cs="Times New Roman"/>
          <w:sz w:val="22"/>
        </w:rPr>
      </w:pPr>
      <w:r w:rsidRPr="002B0D95">
        <w:rPr>
          <w:rFonts w:ascii="Times New Roman" w:hAnsi="Times New Roman" w:cs="Times New Roman"/>
          <w:sz w:val="22"/>
        </w:rPr>
        <w:t>Apsvarstyti susitikimų su interesantais registravimo tvarkos poreikį ir, jei aktualu, nustatyti jos taikymo apimtį.</w:t>
      </w:r>
    </w:p>
    <w:p w14:paraId="3612A5D2" w14:textId="77777777" w:rsidR="00910006" w:rsidRPr="002B0D95" w:rsidRDefault="006A5461" w:rsidP="002B0D95">
      <w:pPr>
        <w:ind w:left="283"/>
        <w:jc w:val="both"/>
        <w:rPr>
          <w:rFonts w:ascii="Times New Roman" w:hAnsi="Times New Roman" w:cs="Times New Roman"/>
          <w:sz w:val="22"/>
        </w:rPr>
      </w:pPr>
      <w:r w:rsidRPr="002B0D95">
        <w:rPr>
          <w:rFonts w:ascii="Times New Roman" w:hAnsi="Times New Roman" w:cs="Times New Roman"/>
          <w:sz w:val="22"/>
        </w:rPr>
        <w:t>Stiprinti darbuotojų informavimą apie pranešimų kanalą, pranešėjo konfidencialumą ir apsaugos priemones.</w:t>
      </w:r>
    </w:p>
    <w:p w14:paraId="04702A1B" w14:textId="77777777" w:rsidR="00910006" w:rsidRDefault="006A5461" w:rsidP="002B0D95">
      <w:pPr>
        <w:ind w:left="283"/>
        <w:jc w:val="both"/>
        <w:rPr>
          <w:rFonts w:ascii="Times New Roman" w:hAnsi="Times New Roman" w:cs="Times New Roman"/>
          <w:sz w:val="22"/>
        </w:rPr>
      </w:pPr>
      <w:r w:rsidRPr="002B0D95">
        <w:rPr>
          <w:rFonts w:ascii="Times New Roman" w:hAnsi="Times New Roman" w:cs="Times New Roman"/>
          <w:sz w:val="22"/>
        </w:rPr>
        <w:t>Viešai skelbti informaciją apie korupcijos prevencijos plano ar kitų korupcijos riziką mažinančių priemonių įgyvendinimo rezultatus.</w:t>
      </w:r>
    </w:p>
    <w:p w14:paraId="01B87164" w14:textId="77777777" w:rsidR="002B0D95" w:rsidRDefault="002B0D95" w:rsidP="002B0D95">
      <w:pPr>
        <w:ind w:left="283"/>
        <w:jc w:val="both"/>
        <w:rPr>
          <w:rFonts w:ascii="Times New Roman" w:hAnsi="Times New Roman" w:cs="Times New Roman"/>
          <w:sz w:val="22"/>
        </w:rPr>
      </w:pPr>
    </w:p>
    <w:p w14:paraId="03B2BD69" w14:textId="77777777" w:rsidR="002B0D95" w:rsidRPr="002B0D95" w:rsidRDefault="002B0D95" w:rsidP="002B0D95">
      <w:pPr>
        <w:rPr>
          <w:rFonts w:ascii="Times New Roman" w:hAnsi="Times New Roman" w:cs="Times New Roman"/>
          <w:sz w:val="22"/>
        </w:rPr>
      </w:pPr>
      <w:r w:rsidRPr="002B0D95">
        <w:rPr>
          <w:rFonts w:ascii="Times New Roman" w:hAnsi="Times New Roman" w:cs="Times New Roman"/>
          <w:sz w:val="22"/>
        </w:rPr>
        <w:t xml:space="preserve">Parengta pagal pateiktus AKL 1 priedo klausimyno atsakymus, darbuotojų anketų suvestinę ir nurodytas reikšmes C = 0, D = 114, E = 0. </w:t>
      </w:r>
    </w:p>
    <w:p w14:paraId="65E7ABB2" w14:textId="77777777" w:rsidR="002B0D95" w:rsidRDefault="002B0D95" w:rsidP="002B0D95">
      <w:pPr>
        <w:ind w:left="283"/>
        <w:jc w:val="both"/>
        <w:rPr>
          <w:rFonts w:ascii="Times New Roman" w:hAnsi="Times New Roman" w:cs="Times New Roman"/>
          <w:sz w:val="22"/>
        </w:rPr>
      </w:pPr>
    </w:p>
    <w:p w14:paraId="11FB611E" w14:textId="77777777" w:rsidR="002B0D95" w:rsidRPr="002B0D95" w:rsidRDefault="002B0D95" w:rsidP="002B0D95">
      <w:pPr>
        <w:ind w:left="283"/>
        <w:jc w:val="both"/>
        <w:rPr>
          <w:rFonts w:ascii="Times New Roman" w:hAnsi="Times New Roman"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5853"/>
      </w:tblGrid>
      <w:tr w:rsidR="002B0D95" w:rsidRPr="002B0D95" w14:paraId="3A7756E5" w14:textId="77777777" w:rsidTr="002C6F54">
        <w:tc>
          <w:tcPr>
            <w:tcW w:w="4518" w:type="dxa"/>
          </w:tcPr>
          <w:p w14:paraId="6866B2E1" w14:textId="59B5201C" w:rsidR="002B0D95" w:rsidRPr="002B0D95" w:rsidRDefault="002B0D95" w:rsidP="002B0D95">
            <w:pPr>
              <w:rPr>
                <w:rFonts w:ascii="Times New Roman" w:hAnsi="Times New Roman" w:cs="Times New Roman"/>
                <w:sz w:val="22"/>
              </w:rPr>
            </w:pPr>
            <w:r>
              <w:rPr>
                <w:rFonts w:ascii="Times New Roman" w:hAnsi="Times New Roman" w:cs="Times New Roman"/>
                <w:sz w:val="22"/>
              </w:rPr>
              <w:t>Direktorės pavaduotoja akademinei veiklai</w:t>
            </w:r>
          </w:p>
        </w:tc>
        <w:tc>
          <w:tcPr>
            <w:tcW w:w="5940" w:type="dxa"/>
          </w:tcPr>
          <w:p w14:paraId="7D90E392" w14:textId="19E769A8" w:rsidR="002B0D95" w:rsidRPr="002B0D95" w:rsidRDefault="002B0D95" w:rsidP="002B0D95">
            <w:pPr>
              <w:jc w:val="right"/>
              <w:rPr>
                <w:rFonts w:ascii="Times New Roman" w:hAnsi="Times New Roman" w:cs="Times New Roman"/>
                <w:sz w:val="22"/>
              </w:rPr>
            </w:pPr>
            <w:r w:rsidRPr="002B0D95">
              <w:rPr>
                <w:rFonts w:ascii="Times New Roman" w:hAnsi="Times New Roman" w:cs="Times New Roman"/>
                <w:sz w:val="22"/>
              </w:rPr>
              <w:t>Jurga Trimonytė-Bikelienė</w:t>
            </w:r>
          </w:p>
        </w:tc>
      </w:tr>
    </w:tbl>
    <w:p w14:paraId="22357E34" w14:textId="77777777" w:rsidR="002B0D95" w:rsidRPr="002B0D95" w:rsidRDefault="002B0D95">
      <w:pPr>
        <w:rPr>
          <w:rFonts w:ascii="Times New Roman" w:hAnsi="Times New Roman" w:cs="Times New Roman"/>
          <w:sz w:val="22"/>
        </w:rPr>
      </w:pPr>
    </w:p>
    <w:sectPr w:rsidR="002B0D95" w:rsidRPr="002B0D95" w:rsidSect="00034616">
      <w:pgSz w:w="12240" w:h="15840"/>
      <w:pgMar w:top="850" w:right="964" w:bottom="85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6259508">
    <w:abstractNumId w:val="8"/>
  </w:num>
  <w:num w:numId="2" w16cid:durableId="221986278">
    <w:abstractNumId w:val="6"/>
  </w:num>
  <w:num w:numId="3" w16cid:durableId="1408722180">
    <w:abstractNumId w:val="5"/>
  </w:num>
  <w:num w:numId="4" w16cid:durableId="520751566">
    <w:abstractNumId w:val="4"/>
  </w:num>
  <w:num w:numId="5" w16cid:durableId="1221672288">
    <w:abstractNumId w:val="7"/>
  </w:num>
  <w:num w:numId="6" w16cid:durableId="1995601265">
    <w:abstractNumId w:val="3"/>
  </w:num>
  <w:num w:numId="7" w16cid:durableId="988946209">
    <w:abstractNumId w:val="2"/>
  </w:num>
  <w:num w:numId="8" w16cid:durableId="1102841073">
    <w:abstractNumId w:val="1"/>
  </w:num>
  <w:num w:numId="9" w16cid:durableId="163213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0D95"/>
    <w:rsid w:val="002C6F54"/>
    <w:rsid w:val="00326F90"/>
    <w:rsid w:val="006A5461"/>
    <w:rsid w:val="008B026C"/>
    <w:rsid w:val="00910006"/>
    <w:rsid w:val="00AA1D8D"/>
    <w:rsid w:val="00B47730"/>
    <w:rsid w:val="00CB0664"/>
    <w:rsid w:val="00CB7CA3"/>
    <w:rsid w:val="00E0585D"/>
    <w:rsid w:val="00FC693F"/>
    <w:rsid w:val="00FD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A5175"/>
  <w14:defaultImageDpi w14:val="300"/>
  <w15:docId w15:val="{25076B21-658B-4ADF-B713-1A4C51A8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Dorita Visalgienė</cp:lastModifiedBy>
  <cp:revision>3</cp:revision>
  <dcterms:created xsi:type="dcterms:W3CDTF">2026-06-25T08:04:00Z</dcterms:created>
  <dcterms:modified xsi:type="dcterms:W3CDTF">2026-06-25T08:44:00Z</dcterms:modified>
  <cp:category/>
</cp:coreProperties>
</file>